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913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proofErr w:type="spellStart"/>
                <w:r w:rsidR="009135DF">
                  <w:rPr>
                    <w:rFonts w:ascii="Calibri" w:eastAsia="Times New Roman" w:hAnsi="Calibri" w:cs="Times New Roman"/>
                    <w:color w:val="000000"/>
                  </w:rPr>
                  <w:t>Ila</w:t>
                </w:r>
                <w:proofErr w:type="spellEnd"/>
                <w:r w:rsidR="009135DF">
                  <w:rPr>
                    <w:rFonts w:ascii="Calibri" w:eastAsia="Times New Roman" w:hAnsi="Calibri" w:cs="Times New Roman"/>
                    <w:color w:val="000000"/>
                  </w:rPr>
                  <w:t xml:space="preserve"> Gabriele Diniz Dias de Azevedo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Tahoma" w:hAnsi="Tahoma" w:cs="Tahoma"/>
                  <w:color w:val="6A727D"/>
                  <w:sz w:val="16"/>
                  <w:szCs w:val="16"/>
                  <w:shd w:val="clear" w:color="auto" w:fill="FFFFFF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9135DF" w:rsidRPr="009135DF">
                  <w:rPr>
                    <w:rFonts w:ascii="Tahoma" w:hAnsi="Tahoma" w:cs="Tahoma"/>
                    <w:color w:val="6A727D"/>
                    <w:sz w:val="16"/>
                    <w:szCs w:val="16"/>
                    <w:shd w:val="clear" w:color="auto" w:fill="FFFFFF"/>
                  </w:rPr>
                  <w:t>20211023397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9135DF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9135DF">
                  <w:rPr>
                    <w:rFonts w:ascii="Calibri" w:eastAsia="Times New Roman" w:hAnsi="Calibri" w:cs="Times New Roman"/>
                    <w:color w:val="000000"/>
                  </w:rPr>
                  <w:t>24/10/2022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913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9135DF">
                  <w:rPr>
                    <w:rFonts w:ascii="Calibri" w:eastAsia="Times New Roman" w:hAnsi="Calibri" w:cs="Times New Roman"/>
                    <w:color w:val="000000"/>
                  </w:rPr>
                  <w:t xml:space="preserve">DEQ/ Lab. De Reatores </w:t>
                </w:r>
                <w:proofErr w:type="spellStart"/>
                <w:r w:rsidR="009135DF">
                  <w:rPr>
                    <w:rFonts w:ascii="Calibri" w:eastAsia="Times New Roman" w:hAnsi="Calibri" w:cs="Times New Roman"/>
                    <w:color w:val="000000"/>
                  </w:rPr>
                  <w:t>Nanoestruturados</w:t>
                </w:r>
                <w:proofErr w:type="spellEnd"/>
                <w:r w:rsidR="009135DF">
                  <w:rPr>
                    <w:rFonts w:ascii="Calibri" w:eastAsia="Times New Roman" w:hAnsi="Calibri" w:cs="Times New Roman"/>
                    <w:color w:val="000000"/>
                  </w:rPr>
                  <w:t xml:space="preserve"> e Reatores Catalíticos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913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9135DF">
                  <w:rPr>
                    <w:rFonts w:ascii="Calibri" w:eastAsia="Times New Roman" w:hAnsi="Calibri" w:cs="Times New Roman"/>
                    <w:color w:val="000000"/>
                  </w:rPr>
                  <w:t>Ila.azevedo.079@ufrn.edu.br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913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9135DF">
                  <w:rPr>
                    <w:rFonts w:ascii="Calibri" w:eastAsia="Times New Roman" w:hAnsi="Calibri" w:cs="Times New Roman"/>
                    <w:color w:val="000000"/>
                  </w:rPr>
                  <w:t xml:space="preserve">André Luís Lopes </w:t>
                </w:r>
                <w:proofErr w:type="spellStart"/>
                <w:r w:rsidR="009135DF">
                  <w:rPr>
                    <w:rFonts w:ascii="Calibri" w:eastAsia="Times New Roman" w:hAnsi="Calibri" w:cs="Times New Roman"/>
                    <w:color w:val="000000"/>
                  </w:rPr>
                  <w:t>Moriyama</w:t>
                </w:r>
                <w:proofErr w:type="spellEnd"/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983816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A análise é de suma importância para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verficicação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dos comportamentos da formação das fases dos materiais utilizados na preparação da dissertação de mestrado da requisitante. 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135DF" w:rsidP="009135D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135DF" w:rsidP="009135D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</w:rPr>
                  <w:t>Ferrita</w:t>
                </w:r>
                <w:proofErr w:type="spellEnd"/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de cobre (CuFe2O4)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135DF" w:rsidP="009135D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X20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135DF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E6398A">
                  <w:rPr>
                    <w:rFonts w:ascii="Calibri" w:eastAsia="Times New Roman" w:hAnsi="Calibri" w:cs="Calibri"/>
                    <w:color w:val="000000"/>
                  </w:rPr>
                  <w:t>Ferrita</w:t>
                </w:r>
                <w:proofErr w:type="spellEnd"/>
                <w:r w:rsidRPr="00E6398A">
                  <w:rPr>
                    <w:rFonts w:ascii="Calibri" w:eastAsia="Times New Roman" w:hAnsi="Calibri" w:cs="Calibri"/>
                    <w:color w:val="000000"/>
                  </w:rPr>
                  <w:t xml:space="preserve"> de cobre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e níquel</w:t>
                </w:r>
                <w:r w:rsidRPr="00E6398A">
                  <w:rPr>
                    <w:rFonts w:ascii="Calibri" w:eastAsia="Times New Roman" w:hAnsi="Calibri" w:cs="Calibri"/>
                    <w:color w:val="000000"/>
                  </w:rPr>
                  <w:t xml:space="preserve"> (Cu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0,8Ni0,2</w:t>
                </w:r>
                <w:r w:rsidRPr="00E6398A">
                  <w:rPr>
                    <w:rFonts w:ascii="Calibri" w:eastAsia="Times New Roman" w:hAnsi="Calibri" w:cs="Calibri"/>
                    <w:color w:val="000000"/>
                  </w:rPr>
                  <w:t>Fe2O4)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135DF" w:rsidP="009135D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X40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135DF" w:rsidP="009135D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</w:rPr>
                  <w:t>Ferrita</w:t>
                </w:r>
                <w:proofErr w:type="spellEnd"/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de cobre e níquel (Cu0,6Ni0,4Fe2O4)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135DF" w:rsidP="009135D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X60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135DF" w:rsidP="009135D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</w:rPr>
                  <w:t>Ferrita</w:t>
                </w:r>
                <w:proofErr w:type="spellEnd"/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de cobre e níquel (Cu0,4Ni0,6Fe2O4)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135DF" w:rsidP="009135D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X80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135DF" w:rsidP="009135D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</w:rPr>
                  <w:t>Ferrita</w:t>
                </w:r>
                <w:proofErr w:type="spellEnd"/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de cobre e níquel (Cu0,2Ni0,8</w:t>
                </w:r>
                <w:r w:rsidRPr="00522BCF">
                  <w:rPr>
                    <w:rFonts w:ascii="Calibri" w:eastAsia="Times New Roman" w:hAnsi="Calibri" w:cs="Calibri"/>
                    <w:color w:val="000000"/>
                  </w:rPr>
                  <w:t>Fe2O4)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135DF" w:rsidP="009135D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X100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135DF" w:rsidP="009135D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</w:rPr>
                  <w:t>Ferrita</w:t>
                </w:r>
                <w:proofErr w:type="spellEnd"/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de níquel </w:t>
                </w:r>
                <w:r w:rsidR="00983816">
                  <w:rPr>
                    <w:rFonts w:ascii="Calibri" w:eastAsia="Times New Roman" w:hAnsi="Calibri" w:cs="Calibri"/>
                    <w:color w:val="000000"/>
                  </w:rPr>
                  <w:t>(NiFe2O4)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417444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</w:rPr>
            </w:r>
            <w:r w:rsidR="0041744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4174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4174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4174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174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4174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983816" w:rsidP="0098381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983816" w:rsidP="0098381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C84AC1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  <w:r w:rsidR="00983816">
                  <w:rPr>
                    <w:rFonts w:ascii="Calibri" w:eastAsia="Times New Roman" w:hAnsi="Calibri" w:cs="Times New Roman"/>
                    <w:color w:val="000000"/>
                  </w:rPr>
                  <w:t>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:rsidR="00571F9D" w:rsidRDefault="003E345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44" w:rsidRDefault="00417444" w:rsidP="00316381">
      <w:pPr>
        <w:spacing w:after="0" w:line="240" w:lineRule="auto"/>
      </w:pPr>
      <w:r>
        <w:separator/>
      </w:r>
    </w:p>
  </w:endnote>
  <w:endnote w:type="continuationSeparator" w:id="0">
    <w:p w:rsidR="00417444" w:rsidRDefault="00417444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44" w:rsidRDefault="00417444" w:rsidP="00316381">
      <w:pPr>
        <w:spacing w:after="0" w:line="240" w:lineRule="auto"/>
      </w:pPr>
      <w:r>
        <w:separator/>
      </w:r>
    </w:p>
  </w:footnote>
  <w:footnote w:type="continuationSeparator" w:id="0">
    <w:p w:rsidR="00417444" w:rsidRDefault="00417444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17444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135DF"/>
    <w:rsid w:val="00983816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C84AC1"/>
    <w:rsid w:val="00CC3D3F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65EBC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64871B-BCBC-4AD9-A637-82DEB95D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7A4CEB"/>
    <w:rsid w:val="00A06E1D"/>
    <w:rsid w:val="00A131B3"/>
    <w:rsid w:val="00B93CAE"/>
    <w:rsid w:val="00DA035A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B075-A75C-4B71-994C-6D783479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Conta da Microsoft</cp:lastModifiedBy>
  <cp:revision>5</cp:revision>
  <dcterms:created xsi:type="dcterms:W3CDTF">2022-01-24T12:33:00Z</dcterms:created>
  <dcterms:modified xsi:type="dcterms:W3CDTF">2022-10-24T14:33:00Z</dcterms:modified>
</cp:coreProperties>
</file>